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C8BE" w14:textId="4029ED78" w:rsidR="005B4C36" w:rsidRDefault="005B4C36" w:rsidP="005B4C36">
      <w:pPr>
        <w:rPr>
          <w:b/>
          <w:bCs/>
          <w:sz w:val="24"/>
          <w:szCs w:val="24"/>
        </w:rPr>
      </w:pPr>
      <w:r>
        <w:rPr>
          <w:b/>
          <w:bCs/>
          <w:noProof/>
          <w:sz w:val="24"/>
          <w:szCs w:val="24"/>
        </w:rPr>
        <w:drawing>
          <wp:inline distT="0" distB="0" distL="0" distR="0" wp14:anchorId="2387DD20" wp14:editId="3BE0A7E2">
            <wp:extent cx="1716656" cy="542462"/>
            <wp:effectExtent l="0" t="0" r="0" b="0"/>
            <wp:docPr id="1138760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60353" name="Picture 1138760353"/>
                    <pic:cNvPicPr/>
                  </pic:nvPicPr>
                  <pic:blipFill>
                    <a:blip r:embed="rId7">
                      <a:extLst>
                        <a:ext uri="{28A0092B-C50C-407E-A947-70E740481C1C}">
                          <a14:useLocalDpi xmlns:a14="http://schemas.microsoft.com/office/drawing/2010/main" val="0"/>
                        </a:ext>
                      </a:extLst>
                    </a:blip>
                    <a:stretch>
                      <a:fillRect/>
                    </a:stretch>
                  </pic:blipFill>
                  <pic:spPr>
                    <a:xfrm>
                      <a:off x="0" y="0"/>
                      <a:ext cx="1735529" cy="548426"/>
                    </a:xfrm>
                    <a:prstGeom prst="rect">
                      <a:avLst/>
                    </a:prstGeom>
                  </pic:spPr>
                </pic:pic>
              </a:graphicData>
            </a:graphic>
          </wp:inline>
        </w:drawing>
      </w:r>
    </w:p>
    <w:p w14:paraId="174FAD4F" w14:textId="21E6E0BF" w:rsidR="000818E5" w:rsidRPr="005B4C36" w:rsidRDefault="000818E5" w:rsidP="005B4C36">
      <w:pPr>
        <w:jc w:val="center"/>
        <w:rPr>
          <w:sz w:val="24"/>
          <w:szCs w:val="24"/>
        </w:rPr>
      </w:pPr>
      <w:r w:rsidRPr="005B4C36">
        <w:rPr>
          <w:b/>
          <w:bCs/>
          <w:sz w:val="24"/>
          <w:szCs w:val="24"/>
        </w:rPr>
        <w:t>ACPM Releases New Policy Paper to Strengthen Retirement Security in Canada</w:t>
      </w:r>
    </w:p>
    <w:p w14:paraId="4E2E3F93" w14:textId="77777777" w:rsidR="000818E5" w:rsidRPr="000818E5" w:rsidRDefault="000818E5" w:rsidP="000818E5">
      <w:r w:rsidRPr="000818E5">
        <w:rPr>
          <w:i/>
          <w:iCs/>
        </w:rPr>
        <w:t>Association outlines practical recommendations to expand workplace pension coverage, improve retirement savings portability and increase access to sustainable lifetime income.</w:t>
      </w:r>
    </w:p>
    <w:p w14:paraId="2D44E153" w14:textId="34E9BADF" w:rsidR="000818E5" w:rsidRPr="000818E5" w:rsidRDefault="000818E5" w:rsidP="000818E5">
      <w:r w:rsidRPr="000818E5">
        <w:rPr>
          <w:b/>
          <w:bCs/>
        </w:rPr>
        <w:t xml:space="preserve">TORONTO, </w:t>
      </w:r>
      <w:r>
        <w:rPr>
          <w:b/>
          <w:bCs/>
        </w:rPr>
        <w:t>July 13</w:t>
      </w:r>
      <w:r w:rsidRPr="000818E5">
        <w:rPr>
          <w:b/>
          <w:bCs/>
        </w:rPr>
        <w:t>, 2026</w:t>
      </w:r>
      <w:r w:rsidRPr="000818E5">
        <w:t xml:space="preserve"> – The Association of Canadian Pension Management (ACPM) today released a new discussion paper calling for practical policy changes to help strengthen retirement security for Canadians by expanding workplace pension coverage, improving the portability of retirement savings and increasing access to lifetime income solutions.</w:t>
      </w:r>
    </w:p>
    <w:p w14:paraId="4684F8FB" w14:textId="77777777" w:rsidR="000818E5" w:rsidRPr="000818E5" w:rsidRDefault="000818E5" w:rsidP="000818E5">
      <w:r w:rsidRPr="000818E5">
        <w:t xml:space="preserve">Titled </w:t>
      </w:r>
      <w:r w:rsidRPr="000818E5">
        <w:rPr>
          <w:i/>
          <w:iCs/>
        </w:rPr>
        <w:t>Strengthening Retirement Security in Canada: An ACPM Discussion Paper on Pension Coverage, Portability and Lifetime Income Solutions</w:t>
      </w:r>
      <w:r w:rsidRPr="000818E5">
        <w:t>, the paper identifies opportunities to modernize Canada's retirement system while building on its internationally recognized strengths.</w:t>
      </w:r>
    </w:p>
    <w:p w14:paraId="76508820" w14:textId="4553F7DE" w:rsidR="000818E5" w:rsidRPr="000818E5" w:rsidRDefault="000818E5" w:rsidP="000818E5">
      <w:pPr>
        <w:rPr>
          <w:b/>
          <w:bCs/>
        </w:rPr>
      </w:pPr>
      <w:r w:rsidRPr="000818E5">
        <w:rPr>
          <w:b/>
          <w:bCs/>
        </w:rPr>
        <w:t>Why now?</w:t>
      </w:r>
    </w:p>
    <w:p w14:paraId="0A8336C1" w14:textId="77777777" w:rsidR="000818E5" w:rsidRPr="000818E5" w:rsidRDefault="000818E5" w:rsidP="000818E5">
      <w:r w:rsidRPr="000818E5">
        <w:t>While Canada's retirement income system is among the strongest in the world, significant gaps remain. Millions of Canadians do not participate in a workplace pension plan, and many face increasingly complex decisions about converting retirement savings into reliable income throughout retirement. ACPM believes these challenges can be addressed through practical, collaborative policy solutions that complement existing pension and savings arrangements.</w:t>
      </w:r>
    </w:p>
    <w:p w14:paraId="66D838CB" w14:textId="67CD59E6" w:rsidR="000818E5" w:rsidRPr="000818E5" w:rsidRDefault="000818E5" w:rsidP="000818E5">
      <w:pPr>
        <w:rPr>
          <w:b/>
          <w:bCs/>
        </w:rPr>
      </w:pPr>
      <w:r w:rsidRPr="000818E5">
        <w:rPr>
          <w:b/>
          <w:bCs/>
        </w:rPr>
        <w:t>Recommendation highlights:</w:t>
      </w:r>
    </w:p>
    <w:p w14:paraId="1007A3CF" w14:textId="77777777" w:rsidR="000818E5" w:rsidRPr="000818E5" w:rsidRDefault="000818E5" w:rsidP="000818E5">
      <w:pPr>
        <w:numPr>
          <w:ilvl w:val="0"/>
          <w:numId w:val="1"/>
        </w:numPr>
      </w:pPr>
      <w:r w:rsidRPr="000818E5">
        <w:t xml:space="preserve">Expand access to workplace retirement savings through practical, scalable solutions. </w:t>
      </w:r>
    </w:p>
    <w:p w14:paraId="1023EA6F" w14:textId="77777777" w:rsidR="000818E5" w:rsidRPr="000818E5" w:rsidRDefault="000818E5" w:rsidP="000818E5">
      <w:pPr>
        <w:numPr>
          <w:ilvl w:val="0"/>
          <w:numId w:val="1"/>
        </w:numPr>
      </w:pPr>
      <w:r w:rsidRPr="000818E5">
        <w:t xml:space="preserve">Improve portability and consolidation of retirement savings to better support today's mobile workforce. </w:t>
      </w:r>
    </w:p>
    <w:p w14:paraId="4CE55A92" w14:textId="77777777" w:rsidR="000818E5" w:rsidRPr="000818E5" w:rsidRDefault="000818E5" w:rsidP="000818E5">
      <w:pPr>
        <w:numPr>
          <w:ilvl w:val="0"/>
          <w:numId w:val="1"/>
        </w:numPr>
      </w:pPr>
      <w:r w:rsidRPr="000818E5">
        <w:t xml:space="preserve">Increase access to affordable lifetime income solutions that help Canadians manage longevity and retirement income risks. </w:t>
      </w:r>
    </w:p>
    <w:p w14:paraId="7AD923C8" w14:textId="77777777" w:rsidR="000818E5" w:rsidRPr="000818E5" w:rsidRDefault="000818E5" w:rsidP="000818E5">
      <w:r w:rsidRPr="000818E5">
        <w:t xml:space="preserve">"Canada's retirement system has served Canadians well, but it must continue to evolve alongside changing workplaces, demographics and retirement patterns," said </w:t>
      </w:r>
      <w:r w:rsidRPr="000818E5">
        <w:rPr>
          <w:b/>
          <w:bCs/>
        </w:rPr>
        <w:t>Korinne Collins, Chief Executive Officer of ACPM</w:t>
      </w:r>
      <w:r w:rsidRPr="000818E5">
        <w:t>. "Our objective is to encourage constructive dialogue with governments, regulators and industry stakeholders on practical policy options that can improve retirement outcomes for Canadians."</w:t>
      </w:r>
    </w:p>
    <w:p w14:paraId="3B4398CA" w14:textId="77777777" w:rsidR="000818E5" w:rsidRPr="000818E5" w:rsidRDefault="000818E5" w:rsidP="000818E5">
      <w:r w:rsidRPr="000818E5">
        <w:t>ACPM will be sharing the paper with federal and provincial governments, regulators and industry stakeholders as part of a broader national dialogue on strengthening Canada's retirement income system.</w:t>
      </w:r>
    </w:p>
    <w:p w14:paraId="37593ABE" w14:textId="77777777" w:rsidR="000818E5" w:rsidRPr="000818E5" w:rsidRDefault="000818E5" w:rsidP="000818E5">
      <w:r w:rsidRPr="000818E5">
        <w:rPr>
          <w:b/>
          <w:bCs/>
        </w:rPr>
        <w:t>About ACPM</w:t>
      </w:r>
    </w:p>
    <w:p w14:paraId="5DD7FF92" w14:textId="77777777" w:rsidR="00286AA4" w:rsidRPr="00286AA4" w:rsidRDefault="00286AA4" w:rsidP="00286AA4">
      <w:r w:rsidRPr="00286AA4">
        <w:t xml:space="preserve">The Association of Canadian Pension Management (ACPM) is the leading advocacy organization for a balanced, effective and sustainable retirement income system in Canada. ACPM represents plan </w:t>
      </w:r>
      <w:r w:rsidRPr="00286AA4">
        <w:lastRenderedPageBreak/>
        <w:t>sponsors, administrators, trustees, investment managers, advisors, lawyers, actuaries, accountants and other retirement professionals across the private and public sectors.</w:t>
      </w:r>
    </w:p>
    <w:p w14:paraId="42746DD7" w14:textId="77777777" w:rsidR="00286AA4" w:rsidRPr="00286AA4" w:rsidRDefault="00286AA4" w:rsidP="00286AA4">
      <w:r w:rsidRPr="00286AA4">
        <w:t>Through advocacy, education and collaboration, ACPM develops practical public policy solutions that strengthen Canada's retirement income system. Working closely with governments, regulators and industry stakeholders, ACPM is committed to improving retirement security for Canadians.</w:t>
      </w:r>
    </w:p>
    <w:p w14:paraId="07A696DE" w14:textId="77777777" w:rsidR="00286AA4" w:rsidRPr="00286AA4" w:rsidRDefault="00286AA4" w:rsidP="00286AA4">
      <w:r w:rsidRPr="00286AA4">
        <w:t xml:space="preserve">For more information, visit </w:t>
      </w:r>
      <w:hyperlink r:id="rId8" w:history="1">
        <w:r w:rsidRPr="00286AA4">
          <w:rPr>
            <w:rStyle w:val="Hyperlink"/>
            <w:b/>
            <w:bCs/>
          </w:rPr>
          <w:t>www.acpm.com</w:t>
        </w:r>
      </w:hyperlink>
      <w:r w:rsidRPr="00286AA4">
        <w:t>.</w:t>
      </w:r>
    </w:p>
    <w:p w14:paraId="33B084F3" w14:textId="77777777" w:rsidR="000818E5" w:rsidRPr="000818E5" w:rsidRDefault="000818E5" w:rsidP="000818E5">
      <w:r w:rsidRPr="000818E5">
        <w:rPr>
          <w:b/>
          <w:bCs/>
        </w:rPr>
        <w:t>Media Contact</w:t>
      </w:r>
    </w:p>
    <w:p w14:paraId="246484F6" w14:textId="4AD3AD53" w:rsidR="000818E5" w:rsidRPr="000818E5" w:rsidRDefault="000818E5" w:rsidP="000818E5">
      <w:r w:rsidRPr="000818E5">
        <w:t xml:space="preserve">Ruth Morayniss </w:t>
      </w:r>
      <w:r>
        <w:br/>
      </w:r>
      <w:r w:rsidRPr="000818E5">
        <w:t xml:space="preserve">Director, Communications </w:t>
      </w:r>
      <w:r>
        <w:br/>
      </w:r>
      <w:r w:rsidRPr="000818E5">
        <w:t xml:space="preserve">Association of Canadian Pension Management (ACPM) </w:t>
      </w:r>
      <w:r>
        <w:br/>
      </w:r>
      <w:r w:rsidRPr="000818E5">
        <w:t xml:space="preserve">communications@acpm.com </w:t>
      </w:r>
    </w:p>
    <w:p w14:paraId="3E29D908" w14:textId="77777777" w:rsidR="00C52442" w:rsidRDefault="00C52442"/>
    <w:sectPr w:rsidR="00C52442">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64B20" w14:textId="77777777" w:rsidR="00EF6241" w:rsidRDefault="00EF6241" w:rsidP="005B4C36">
      <w:pPr>
        <w:spacing w:after="0" w:line="240" w:lineRule="auto"/>
      </w:pPr>
      <w:r>
        <w:separator/>
      </w:r>
    </w:p>
  </w:endnote>
  <w:endnote w:type="continuationSeparator" w:id="0">
    <w:p w14:paraId="7098C258" w14:textId="77777777" w:rsidR="00EF6241" w:rsidRDefault="00EF6241" w:rsidP="005B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108916"/>
      <w:docPartObj>
        <w:docPartGallery w:val="Page Numbers (Bottom of Page)"/>
        <w:docPartUnique/>
      </w:docPartObj>
    </w:sdtPr>
    <w:sdtEndPr>
      <w:rPr>
        <w:noProof/>
      </w:rPr>
    </w:sdtEndPr>
    <w:sdtContent>
      <w:p w14:paraId="6473CC9A" w14:textId="273EFF5A" w:rsidR="005B4C36" w:rsidRDefault="005B4C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7995B4" w14:textId="77777777" w:rsidR="005B4C36" w:rsidRDefault="005B4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A06D6" w14:textId="77777777" w:rsidR="00EF6241" w:rsidRDefault="00EF6241" w:rsidP="005B4C36">
      <w:pPr>
        <w:spacing w:after="0" w:line="240" w:lineRule="auto"/>
      </w:pPr>
      <w:r>
        <w:separator/>
      </w:r>
    </w:p>
  </w:footnote>
  <w:footnote w:type="continuationSeparator" w:id="0">
    <w:p w14:paraId="1BC108F9" w14:textId="77777777" w:rsidR="00EF6241" w:rsidRDefault="00EF6241" w:rsidP="005B4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345CF"/>
    <w:multiLevelType w:val="multilevel"/>
    <w:tmpl w:val="D1D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102421"/>
    <w:multiLevelType w:val="multilevel"/>
    <w:tmpl w:val="8034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374B24"/>
    <w:multiLevelType w:val="multilevel"/>
    <w:tmpl w:val="AE3E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91486">
    <w:abstractNumId w:val="1"/>
  </w:num>
  <w:num w:numId="2" w16cid:durableId="2120025995">
    <w:abstractNumId w:val="2"/>
  </w:num>
  <w:num w:numId="3" w16cid:durableId="213798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8E5"/>
    <w:rsid w:val="000818E5"/>
    <w:rsid w:val="00286AA4"/>
    <w:rsid w:val="005B4C36"/>
    <w:rsid w:val="00642AC9"/>
    <w:rsid w:val="00C52442"/>
    <w:rsid w:val="00EF6241"/>
    <w:rsid w:val="00F10B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FF3E0"/>
  <w15:chartTrackingRefBased/>
  <w15:docId w15:val="{8A03ED8A-1815-4728-AC56-C286326A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8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8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8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8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8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8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8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8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8E5"/>
    <w:rPr>
      <w:rFonts w:eastAsiaTheme="majorEastAsia" w:cstheme="majorBidi"/>
      <w:color w:val="272727" w:themeColor="text1" w:themeTint="D8"/>
    </w:rPr>
  </w:style>
  <w:style w:type="paragraph" w:styleId="Title">
    <w:name w:val="Title"/>
    <w:basedOn w:val="Normal"/>
    <w:next w:val="Normal"/>
    <w:link w:val="TitleChar"/>
    <w:uiPriority w:val="10"/>
    <w:qFormat/>
    <w:rsid w:val="00081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8E5"/>
    <w:pPr>
      <w:spacing w:before="160"/>
      <w:jc w:val="center"/>
    </w:pPr>
    <w:rPr>
      <w:i/>
      <w:iCs/>
      <w:color w:val="404040" w:themeColor="text1" w:themeTint="BF"/>
    </w:rPr>
  </w:style>
  <w:style w:type="character" w:customStyle="1" w:styleId="QuoteChar">
    <w:name w:val="Quote Char"/>
    <w:basedOn w:val="DefaultParagraphFont"/>
    <w:link w:val="Quote"/>
    <w:uiPriority w:val="29"/>
    <w:rsid w:val="000818E5"/>
    <w:rPr>
      <w:i/>
      <w:iCs/>
      <w:color w:val="404040" w:themeColor="text1" w:themeTint="BF"/>
    </w:rPr>
  </w:style>
  <w:style w:type="paragraph" w:styleId="ListParagraph">
    <w:name w:val="List Paragraph"/>
    <w:basedOn w:val="Normal"/>
    <w:uiPriority w:val="34"/>
    <w:qFormat/>
    <w:rsid w:val="000818E5"/>
    <w:pPr>
      <w:ind w:left="720"/>
      <w:contextualSpacing/>
    </w:pPr>
  </w:style>
  <w:style w:type="character" w:styleId="IntenseEmphasis">
    <w:name w:val="Intense Emphasis"/>
    <w:basedOn w:val="DefaultParagraphFont"/>
    <w:uiPriority w:val="21"/>
    <w:qFormat/>
    <w:rsid w:val="000818E5"/>
    <w:rPr>
      <w:i/>
      <w:iCs/>
      <w:color w:val="0F4761" w:themeColor="accent1" w:themeShade="BF"/>
    </w:rPr>
  </w:style>
  <w:style w:type="paragraph" w:styleId="IntenseQuote">
    <w:name w:val="Intense Quote"/>
    <w:basedOn w:val="Normal"/>
    <w:next w:val="Normal"/>
    <w:link w:val="IntenseQuoteChar"/>
    <w:uiPriority w:val="30"/>
    <w:qFormat/>
    <w:rsid w:val="00081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8E5"/>
    <w:rPr>
      <w:i/>
      <w:iCs/>
      <w:color w:val="0F4761" w:themeColor="accent1" w:themeShade="BF"/>
    </w:rPr>
  </w:style>
  <w:style w:type="character" w:styleId="IntenseReference">
    <w:name w:val="Intense Reference"/>
    <w:basedOn w:val="DefaultParagraphFont"/>
    <w:uiPriority w:val="32"/>
    <w:qFormat/>
    <w:rsid w:val="000818E5"/>
    <w:rPr>
      <w:b/>
      <w:bCs/>
      <w:smallCaps/>
      <w:color w:val="0F4761" w:themeColor="accent1" w:themeShade="BF"/>
      <w:spacing w:val="5"/>
    </w:rPr>
  </w:style>
  <w:style w:type="character" w:styleId="Hyperlink">
    <w:name w:val="Hyperlink"/>
    <w:basedOn w:val="DefaultParagraphFont"/>
    <w:uiPriority w:val="99"/>
    <w:unhideWhenUsed/>
    <w:rsid w:val="00286AA4"/>
    <w:rPr>
      <w:color w:val="467886" w:themeColor="hyperlink"/>
      <w:u w:val="single"/>
    </w:rPr>
  </w:style>
  <w:style w:type="character" w:styleId="UnresolvedMention">
    <w:name w:val="Unresolved Mention"/>
    <w:basedOn w:val="DefaultParagraphFont"/>
    <w:uiPriority w:val="99"/>
    <w:semiHidden/>
    <w:unhideWhenUsed/>
    <w:rsid w:val="00286AA4"/>
    <w:rPr>
      <w:color w:val="605E5C"/>
      <w:shd w:val="clear" w:color="auto" w:fill="E1DFDD"/>
    </w:rPr>
  </w:style>
  <w:style w:type="paragraph" w:styleId="Header">
    <w:name w:val="header"/>
    <w:basedOn w:val="Normal"/>
    <w:link w:val="HeaderChar"/>
    <w:uiPriority w:val="99"/>
    <w:unhideWhenUsed/>
    <w:rsid w:val="005B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C36"/>
  </w:style>
  <w:style w:type="paragraph" w:styleId="Footer">
    <w:name w:val="footer"/>
    <w:basedOn w:val="Normal"/>
    <w:link w:val="FooterChar"/>
    <w:uiPriority w:val="99"/>
    <w:unhideWhenUsed/>
    <w:rsid w:val="005B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p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494</Words>
  <Characters>2655</Characters>
  <Application>Microsoft Office Word</Application>
  <DocSecurity>0</DocSecurity>
  <Lines>61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Morayniss</dc:creator>
  <cp:keywords/>
  <dc:description/>
  <cp:lastModifiedBy>Ruth Morayniss</cp:lastModifiedBy>
  <cp:revision>2</cp:revision>
  <dcterms:created xsi:type="dcterms:W3CDTF">2026-07-13T14:02:00Z</dcterms:created>
  <dcterms:modified xsi:type="dcterms:W3CDTF">2026-07-15T19:35:00Z</dcterms:modified>
</cp:coreProperties>
</file>